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265bffd8bf584014"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28364</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OPĆINA HRAŠĆINA</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22</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XII 2025.</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2.382.618,56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1.576.125,39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66,2</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529.181,99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802.976,61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151,7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1.853.436,57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773.148,78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41,7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1.587.244,68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2.457.198,47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154,8</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1.587.244,68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2.457.198,47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154,8</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1.464.715,78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PRIMITAKA OD FINANCIJSKE IMOVINE I ZADUŽIVANJA (šifre 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1.464.715,78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I PRIMITAKA (šifre Y345-X678)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219.333,91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bl>
    <w:p>
      <w:pPr>
        <w:spacing w:before="0" w:after="0"/>
      </w:pPr>
    </w:p>
    <w:p>
      <w:r>
        <w:t xml:space="preserve">Ukupno ostvareni prihodi i primici za razdoblje  01.01. – 31.12.2025. godine iznose 3.040.841,17 eura, te  bilježi  rast u odnosu na prošlu godinu. Razlog povećanju  u odnosu na isto razdoblje prošle godine veći priljev tekuće pomoći iz državnog proračuna te primljene tekuće pomoći temeljem prijenosa EU, te prihod po kratkoročnom i dugoročnom kreditu.  Rashodi i izdaci iznose 3.260.175,08 eura  te bilježe biljže rast u odnosu na prošlu godinu zbog izgradnje i opremanja dječjeg vrtića, društvenih domova te rekonstrukcija nerazvrstanih cesta, izgradnje i opremanja dječjeg  igrališta u sklopu dječjeg vrtića te dr.. Manjak prihoda i primitaka iznosi 219.333,91 eura. Preneseni višak prihoda i primitaka iznosi 541.342,75 eura te u sljedećem razdoblju višak prihoda i primitaka iznosi  322.008,84 eura.</w:t>
      </w:r>
    </w:p>
    <w:p>
      <w:r>
        <w:t xml:space="preserve"> </w:t>
      </w:r>
    </w:p>
    <w:p>
      <w:r>
        <w:t xml:space="preserve"> </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2.382.618,56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1.576.125,39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66,2</w:t>
            </w:r>
          </w:p>
        </w:tc>
      </w:tr>
    </w:tbl>
    <w:p>
      <w:pPr>
        <w:spacing w:before="0" w:after="0"/>
      </w:pPr>
    </w:p>
    <w:p>
      <w:r>
        <w:t xml:space="preserve">Prihodi poslovanja bilježe pad u odnosu na prošlu godinu, zbog izgradnje i opremanja dječjeg vrtića (u prošlom razdoblju isplaćen veći dio bespovratnih sredstava temeljem ugovora o dodjeli, dok je u ovom razdoblju isplaćen preostali dio  ugovora) ali i  ujedno i povećanje povrata poreza u odnosu na prošlo razdoblje.</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poreza (šifre 611+612+613+614+615+616)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462.761,78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627.605,64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135,6</w:t>
            </w:r>
          </w:p>
        </w:tc>
      </w:tr>
    </w:tbl>
    <w:p>
      <w:pPr>
        <w:spacing w:before="0" w:after="0"/>
      </w:pPr>
    </w:p>
    <w:p>
      <w:r>
        <w:t xml:space="preserve">bilježe rast u odnosu na prošlu godinu iz razloga što je povećan prihod od nesamostalnog rada</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iz inozemstva i od subjekata unutar općeg proračuna (šifre 631+632+633+634+635+636+637+638+639)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1.862.412,44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888.577,80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47,7</w:t>
            </w:r>
          </w:p>
        </w:tc>
      </w:tr>
    </w:tbl>
    <w:p>
      <w:pPr>
        <w:spacing w:before="0" w:after="0"/>
      </w:pPr>
    </w:p>
    <w:p>
      <w:r>
        <w:t xml:space="preserve">Evidentan je značajan pad u odnosu na isto razdoblje prošle godine. Općina Hrašćina je u ovom razdoblju u općinski proračun primila 283.867,51eura iz Državnog proračuna, a odnosi se na pomoć ( bivše fiskalno izravnanje), iz NPOO (DJEČJI VRTIĆ Hrašćina) uplaćeno je 277.337,98 eura sukladno potraživanom ZNS-u (potraživani troškovi 5., 6. i dio 7. privremene situacije) za nastale troškove izgradnje i opremanja dječjeg vrtića u Hrašćini, dok je prošle godine u istom razdoblju uplaćen preostali dio temeljem ugovora o dodjeli bespovratnih sredstava za projekte koji se financiraju iz mehanizma za oporavak i otpornost.  Tekuće pomoći od izvanproračunskih korisnika (Dom zdravlja) iznosila je  8.752,72 eura (refundacija uređenje parkirališta) dok je prošle godine sa iste pozicije bilo uplaćeno 15.966,44 eura.  Za program „Želim dostojanstvenu starost III“  doznačen je iznos od 114.945, 84eura (isplata po ZNS-ovima) . Kapitalne pomoći iz državnog proračuna, od strane ministarstva demografije i useljeništva (za uređenje igrališta uz dječji vrtić vrtić te za nabavu opreme ) iznose 100.000,00 eura, od MRRFEU u iznosu od 41.000,00 eura za projekt izgradnje i opremanja društvenog doma u Kraljevcu, od MPGI u iznosu od 25.400,00 eura za projekt sanacije NC T1 Trgovišće -Kurija Belošević-ŽC217,  te od strane APPRRR-a za projekt rekonstrukcija staze na groblju u iznosu od 22.175,00 eura i za projekt rekonstrukcije stolarije i opremanje KIC-a u iznosu 15.098,75 eura.</w:t>
      </w:r>
    </w:p>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imovine (šifre 641+642+643)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184,38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115,47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62,6</w:t>
            </w:r>
          </w:p>
        </w:tc>
      </w:tr>
    </w:tbl>
    <w:p>
      <w:pPr>
        <w:spacing w:before="0" w:after="0"/>
      </w:pPr>
    </w:p>
    <w:p>
      <w:r>
        <w:t xml:space="preserve">Prihodi od imovine bilježe pad u odnosu na prošlu godinu.</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upravnih i administrativnih pristojbi, pristojbi po posebnim propisima i naknada (šifre 651+652+653+654)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57.259,96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59.826,48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104,5</w:t>
            </w:r>
          </w:p>
        </w:tc>
      </w:tr>
    </w:tbl>
    <w:p>
      <w:pPr>
        <w:spacing w:before="0" w:after="0"/>
      </w:pPr>
    </w:p>
    <w:p>
      <w:r>
        <w:t xml:space="preserve">bilježi se blagi porast u odnosu na prošlu godinu, naplaćen dio prošlogodišnjih obaveza.</w:t>
      </w:r>
    </w:p>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529.181,99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802.976,61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151,7</w:t>
            </w:r>
          </w:p>
        </w:tc>
      </w:tr>
    </w:tbl>
    <w:p>
      <w:pPr>
        <w:spacing w:before="0" w:after="0"/>
      </w:pPr>
    </w:p>
    <w:p>
      <w:r>
        <w:t xml:space="preserve">bulježi se rast u odnosu na prošlu godinu, zbog provedbe programa Želim dostojanstvenu starost III budući da je 10 žena zaposleno svih 12 mjeseci.</w:t>
      </w:r>
    </w:p>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zaposlene (šifre 311+312+313)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185.729,48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262.606,50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141,4</w:t>
            </w:r>
          </w:p>
        </w:tc>
      </w:tr>
    </w:tbl>
    <w:p>
      <w:pPr>
        <w:spacing w:before="0" w:after="0"/>
      </w:pPr>
    </w:p>
    <w:p>
      <w:r>
        <w:t xml:space="preserve">bulježi se rast u odnosu na prošlu godinu, zbog provedbe programa Želim dostojanstvenu starost III budući da je 10 žena zaposleno svih 12 mjeseci te je došlo do povećanja osnovice državnih dužnosnika.</w:t>
      </w:r>
    </w:p>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Materijalni rashodi (šifre 321+322+323+324+325+329)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211.021,91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342.277,77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162,2</w:t>
            </w:r>
          </w:p>
        </w:tc>
      </w:tr>
    </w:tbl>
    <w:p>
      <w:pPr>
        <w:spacing w:before="0" w:after="0"/>
      </w:pPr>
    </w:p>
    <w:p>
      <w:r>
        <w:t xml:space="preserve">bilježi  se rast u odnosu na prošlu godinu jer je došlo do povećanog održavanja nerazvrstanih cesta te povećanja cijena kamenog agregata te ostalog materijala, a ujedno je došlo i do povećanja zbog novosklopljenih ugovora za komunalne djelatnosti, te je došlo do znatnog povećanja troškova povodom obilježavanja prigodnih datuma.</w:t>
      </w:r>
    </w:p>
    <w:p>
      <w:r>
        <w:t xml:space="preserve"> </w:t>
      </w:r>
    </w:p>
    <w:p/>
    <w:p>
      <w:pPr>
        <w:jc w:val="center"/>
        <w:pStyle w:val="Normal"/>
        <w:spacing w:line="240" w:lineRule="auto"/>
        <w:keepNext/>
      </w:pPr>
      <w:r>
        <w:rPr>
          <w:sz w:val="28"/>
          <w:rFonts w:ascii="Times New Roman" w:hAnsi="Times New Roman"/>
        </w:rPr>
        <w:t xml:space="preserve">Bilješka 10.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Financijski rashodi (šifre 341+342+343)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2.040,18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15.885,84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778,6</w:t>
            </w:r>
          </w:p>
        </w:tc>
      </w:tr>
    </w:tbl>
    <w:p>
      <w:pPr>
        <w:spacing w:before="0" w:after="0"/>
      </w:pPr>
    </w:p>
    <w:p>
      <w:r>
        <w:t xml:space="preserve">bilježe rast u odnosu na prošlu godinu zbog povećanja bankarskih usluga, odnosno kreditnog zaduženja kod HABOR-a (dugoročni kredit) te kod Zagrebačke banke (kratkoročni kredit).</w:t>
      </w:r>
    </w:p>
    <w:p/>
    <w:p>
      <w:pPr>
        <w:jc w:val="center"/>
        <w:pStyle w:val="Normal"/>
        <w:spacing w:line="240" w:lineRule="auto"/>
        <w:keepNext/>
      </w:pPr>
      <w:r>
        <w:rPr>
          <w:sz w:val="28"/>
          <w:rFonts w:ascii="Times New Roman" w:hAnsi="Times New Roman"/>
        </w:rPr>
        <w:t xml:space="preserve">Bilješka 11.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Subvencije (šifre 351+352+353)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26.895,00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subvencionirani su troškovi za izobrazbu poljopriverednika te je evidentiran rashod za troškove sufinanciranja dječjeg vrtića (privatno vlasništvo i igraonica).</w:t>
      </w:r>
    </w:p>
    <w:p/>
    <w:p>
      <w:pPr>
        <w:jc w:val="center"/>
        <w:pStyle w:val="Normal"/>
        <w:spacing w:line="240" w:lineRule="auto"/>
        <w:keepNext/>
      </w:pPr>
      <w:r>
        <w:rPr>
          <w:sz w:val="28"/>
          <w:rFonts w:ascii="Times New Roman" w:hAnsi="Times New Roman"/>
        </w:rPr>
        <w:t xml:space="preserve">Bilješka 12.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dane u inozemstvo i unutar općeg proračuna (šifre 361+362+363+365+366+367+368+369)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67.730,80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64.279,28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94,9</w:t>
            </w:r>
          </w:p>
        </w:tc>
      </w:tr>
    </w:tbl>
    <w:p>
      <w:pPr>
        <w:spacing w:before="0" w:after="0"/>
      </w:pPr>
    </w:p>
    <w:p>
      <w:r>
        <w:t xml:space="preserve">bilježe  blagi pad u odnosu na prošlu godinu zbog evidentiranja rashoda za troškove dječjeg vrtića (igraonice i privatne osobe ) na drugom kontu, a izdaci se ujedno odnose i na izavanje za JVP KZŽ. </w:t>
      </w:r>
    </w:p>
    <w:p/>
    <w:p>
      <w:pPr>
        <w:jc w:val="center"/>
        <w:pStyle w:val="Normal"/>
        <w:spacing w:line="240" w:lineRule="auto"/>
        <w:keepNext/>
      </w:pPr>
      <w:r>
        <w:rPr>
          <w:sz w:val="28"/>
          <w:rFonts w:ascii="Times New Roman" w:hAnsi="Times New Roman"/>
        </w:rPr>
        <w:t xml:space="preserve">Bilješka 13.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Naknade građanima i kućanstvima na temelju osiguranja i druge naknade (šifre 371+372)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28.758,53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44.591,78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155,1</w:t>
            </w:r>
          </w:p>
        </w:tc>
      </w:tr>
    </w:tbl>
    <w:p>
      <w:pPr>
        <w:spacing w:before="0" w:after="0"/>
      </w:pPr>
    </w:p>
    <w:p>
      <w:r>
        <w:t xml:space="preserve">bilježi rast u odnosu na prošlu godinu zbog isplate  uskrsnice svim umirovljenicima sa područja općine i obiteljima s troje i više maloljetne djece, kao i korisnicima nacionalne naknade i korisnicima socijalne naknade te božičnice sukladno odlukama načelnika, također se povećao i broj  stipendista te iznos dodijeljenih stipendija.</w:t>
      </w:r>
    </w:p>
    <w:p/>
    <w:p>
      <w:pPr>
        <w:jc w:val="center"/>
        <w:pStyle w:val="Normal"/>
        <w:spacing w:line="240" w:lineRule="auto"/>
        <w:keepNext/>
      </w:pPr>
      <w:r>
        <w:rPr>
          <w:sz w:val="28"/>
          <w:rFonts w:ascii="Times New Roman" w:hAnsi="Times New Roman"/>
        </w:rPr>
        <w:t xml:space="preserve">Bilješka 14.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donacije, kazne, naknade šteta i kapitalne pomoći (šifre 381+382+383+386)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33.901,09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46.440,44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137,0</w:t>
            </w:r>
          </w:p>
        </w:tc>
      </w:tr>
    </w:tbl>
    <w:p>
      <w:pPr>
        <w:spacing w:before="0" w:after="0"/>
      </w:pPr>
    </w:p>
    <w:p>
      <w:r>
        <w:t xml:space="preserve">bilježe blagi porast u odnosu na prošlu godinu zbog povećanih izdvajanja za školstvo,  DVD, CK te donacija udrugama, a ujednop općina je donijela odluku o isplati poticajne naknade doktoru medicine u općini Hrašćina.</w:t>
      </w:r>
    </w:p>
    <w:p/>
    <w:p>
      <w:pPr>
        <w:jc w:val="center"/>
        <w:pStyle w:val="Normal"/>
        <w:spacing w:line="240" w:lineRule="auto"/>
        <w:keepNext/>
      </w:pPr>
      <w:r>
        <w:rPr>
          <w:sz w:val="28"/>
          <w:rFonts w:ascii="Times New Roman" w:hAnsi="Times New Roman"/>
        </w:rPr>
        <w:t xml:space="preserve">Bilješka 15.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1.587.244,68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2.457.198,47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154,8</w:t>
            </w:r>
          </w:p>
        </w:tc>
      </w:tr>
    </w:tbl>
    <w:p>
      <w:pPr>
        <w:spacing w:before="0" w:after="0"/>
      </w:pPr>
    </w:p>
    <w:p>
      <w:r>
        <w:t xml:space="preserve">bilježe veliko povećanje  u odnosu na prošlu godinu  zbog  izgradnje i opremanja dječjeg vrtića Hrašćina, društvenog doma Hrašćina, društvenog doma Kraljevec kao i radnjama na cestama, kao i zbog  šeste Izmjene i dopune PPUO O. Hrašćina te uređenja parka , i izgradnje i opremanja dječjeg igrališta.</w:t>
      </w:r>
    </w:p>
    <w:p>
      <w:r>
        <w:t xml:space="preserve"> </w:t>
      </w:r>
    </w:p>
    <w:p/>
    <w:p>
      <w:pPr>
        <w:jc w:val="center"/>
        <w:pStyle w:val="Normal"/>
        <w:spacing w:line="240" w:lineRule="auto"/>
        <w:keepNext/>
      </w:pPr>
      <w:r>
        <w:rPr>
          <w:sz w:val="28"/>
          <w:rFonts w:ascii="Times New Roman" w:hAnsi="Times New Roman"/>
        </w:rPr>
        <w:t xml:space="preserve">Bilješka 16.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proizvedene dugotrajne imovine (šifre 421+422+423+424+425+426)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1.499.826,29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2.422.772,47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161,5</w:t>
            </w:r>
          </w:p>
        </w:tc>
      </w:tr>
    </w:tbl>
    <w:p>
      <w:pPr>
        <w:spacing w:before="0" w:after="0"/>
      </w:pPr>
    </w:p>
    <w:p>
      <w:r>
        <w:t xml:space="preserve">došlo je do povećanja u odnosu na prošlu godinu zbog  izgradnje i opremanja dječjeg vrtića Hrašćina, izgradnje i opremanja društvenog doma Hrašćina, radova na izgradnji društvenog doma Kraljevec te zbog uređenja nerazvrstanih cesta, kao i radova na uređenju parka, groblja i javne rasvjete, igrališta</w:t>
      </w:r>
    </w:p>
    <w:p/>
    <w:p>
      <w:pPr>
        <w:jc w:val="center"/>
        <w:pStyle w:val="Normal"/>
        <w:spacing w:line="240" w:lineRule="auto"/>
        <w:keepNext/>
      </w:pPr>
      <w:r>
        <w:rPr>
          <w:sz w:val="28"/>
          <w:rFonts w:ascii="Times New Roman" w:hAnsi="Times New Roman"/>
        </w:rPr>
        <w:t xml:space="preserve">Bilješka 17.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dodatna ulaganja na nefinancijskoj imovini (šifre 451 do 454)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87.418,39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34.426,00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39,4</w:t>
            </w:r>
          </w:p>
        </w:tc>
      </w:tr>
    </w:tbl>
    <w:p>
      <w:pPr>
        <w:spacing w:before="0" w:after="0"/>
      </w:pPr>
    </w:p>
    <w:p>
      <w:r>
        <w:t xml:space="preserve">bilježi smanjenje u odnosu na prošlo razdoblje jer se prošle godine radilo na uređenju rekonstrukcije društvenog doma Vrbovo, rekonstrukciji krovišta općinske vijećnice  i doma zdravlja, dok su ove godine nastali troškovi na opremanju prostora kulturno-informativnog centra i troškovi na rekonstrukciji društvenog doma Husinec (geodetski snimak postojećeg stanja), troškovi na uređenju parkirališta.</w:t>
      </w:r>
    </w:p>
    <w:p/>
    <w:p>
      <w:pPr>
        <w:jc w:val="center"/>
        <w:pStyle w:val="Normal"/>
        <w:spacing w:line="240" w:lineRule="auto"/>
        <w:keepNext/>
      </w:pPr>
      <w:r>
        <w:rPr>
          <w:sz w:val="28"/>
          <w:rFonts w:ascii="Times New Roman" w:hAnsi="Times New Roman"/>
        </w:rPr>
        <w:t xml:space="preserve">Bilješka 18.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1.464.715,78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Bilježe povećanje u odnosu na prošlu godinu, a isto se odnosi na dugoročni kredit kod Hrvatske banke za obnovu i razvitak za projekt izgradnje i opremanja dječjeg vrtića u Hrašćini te na kratkoročni kredit kod Zagrebačke banke za međufinanciranje do isplate bespovratnih sredstava potpore po EU projektu  „Rekonstrukcija nerazvrstane ceste spoj naselja Domovec i Maretić.</w:t>
      </w:r>
    </w:p>
    <w:p/>
    <w:p>
      <w:pPr>
        <w:jc w:val="center"/>
        <w:pStyle w:val="Normal"/>
        <w:spacing w:line="240" w:lineRule="auto"/>
        <w:keepNext/>
      </w:pPr>
      <w:r>
        <w:rPr>
          <w:sz w:val="28"/>
          <w:rFonts w:ascii="Times New Roman" w:hAnsi="Times New Roman"/>
        </w:rPr>
        <w:t xml:space="preserve">Bilješka 19.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zaduživanja (šifre 841+842+843+844+845+847)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1.464.715,78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Bilježe povećanje u odnosu na prošlu godinu, a isto se odnosi na dugoročni kredit kod Hrvatske banke za obnovu i razvitak za projekt izgradnje i opremanja dječjeg vrtića u Hrašćini te na kratkoročni kredit kod Zagrebačke banke za međufinanciranje do isplate bespovratnih sredstava potpore po EU projektu  „Rekonstrukcija nerazvrstane ceste spoj naselja Domovec i Maretić.</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20.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obveza 1. siječnja (=stanju obveza iz Izvještaja o obvezama na 31. prosinca prethodne godine)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57.390,71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ukupne nepodmirene obaveze iznose 57.390,71 eura .</w:t>
      </w:r>
    </w:p>
    <w:p/>
    <w:p>
      <w:pPr>
        <w:jc w:val="center"/>
        <w:pStyle w:val="Normal"/>
        <w:spacing w:line="240" w:lineRule="auto"/>
        <w:keepNext/>
      </w:pPr>
      <w:r>
        <w:rPr>
          <w:sz w:val="28"/>
          <w:rFonts w:ascii="Times New Roman" w:hAnsi="Times New Roman"/>
        </w:rPr>
        <w:t xml:space="preserve">Bilješka 21.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Povećanje obveza u izvještajnom razdoblju (šifre V003+N23+N24 + 'N dio 25,26'+N27)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5.083.032,46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tijekom ovog razdoblja su preuzete obveze u iznosu od 5.083.032,46 eura, od čega se dio odnosi na rashode poslovanja 1.157.141,11eura, a dio na nefinancijsku imovinu u iznosu od 2.457.198,47 euro te obveze za financijsku imovinu u iznosu od 1.464.715,78 eura .</w:t>
      </w:r>
    </w:p>
    <w:p/>
    <w:p>
      <w:pPr>
        <w:jc w:val="center"/>
        <w:pStyle w:val="Normal"/>
        <w:spacing w:line="240" w:lineRule="auto"/>
        <w:keepNext/>
      </w:pPr>
      <w:r>
        <w:rPr>
          <w:sz w:val="28"/>
          <w:rFonts w:ascii="Times New Roman" w:hAnsi="Times New Roman"/>
        </w:rPr>
        <w:t xml:space="preserve">Bilješka 22.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Podmirene obveze u izvještajnom razdoblju (šifre V005+P23+P24 + 'P dio 25,26'+P27)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3.501.470,88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Podmirene obaveze u izvještajnom razdoblju iznose 3.501.470,88 eura, od toga obaveze za rashode poslovanja iznose 1.026.380,77 eura i obaveze za nefinancijsku imovinu iznose 2.471.113,01 eura</w:t>
      </w:r>
    </w:p>
    <w:p/>
    <w:p>
      <w:pPr>
        <w:jc w:val="center"/>
        <w:pStyle w:val="Normal"/>
        <w:spacing w:line="240" w:lineRule="auto"/>
        <w:keepNext/>
      </w:pPr>
      <w:r>
        <w:rPr>
          <w:sz w:val="28"/>
          <w:rFonts w:ascii="Times New Roman" w:hAnsi="Times New Roman"/>
        </w:rPr>
        <w:t xml:space="preserve">Bilješka 23.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obveza na kraju izvještajnog razdoblja (šifre V001+V002-V004) i (šifre V007+V009)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1.638.952,29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stanje nepodmirenih obaveza u izvještajnom razdoblju  iznosi 1.638.952,29 eura</w:t>
      </w:r>
    </w:p>
    <w:p/>
    <w:p>
      <w:pPr>
        <w:jc w:val="center"/>
        <w:pStyle w:val="Normal"/>
        <w:spacing w:line="240" w:lineRule="auto"/>
        <w:keepNext/>
      </w:pPr>
      <w:r>
        <w:rPr>
          <w:sz w:val="28"/>
          <w:rFonts w:ascii="Times New Roman" w:hAnsi="Times New Roman"/>
        </w:rPr>
        <w:t xml:space="preserve">Bilješka 24.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789,65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stanje dospjelih obaveza na kraju izvještajnog razdoblja iznosi 789,65  eura. </w:t>
      </w:r>
    </w:p>
    <w:p/>
    <w:p>
      <w:pPr>
        <w:jc w:val="center"/>
        <w:pStyle w:val="Normal"/>
        <w:spacing w:line="240" w:lineRule="auto"/>
        <w:keepNext/>
      </w:pPr>
      <w:r>
        <w:rPr>
          <w:sz w:val="28"/>
          <w:rFonts w:ascii="Times New Roman" w:hAnsi="Times New Roman"/>
        </w:rPr>
        <w:t xml:space="preserve">Bilješka 25.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nedospjelih obveza na kraju izvještajnog razdoblja (šifre V010 + ND23 + ND24 + 'ND dio 25,26' + ND27)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1.638.162,64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Stanje nedospjelih obveza na kraju izvještajnog razdoblja iznosi 1.638.162,64 eura, a odnose se na rashode poslovanja u iznosu od 173.446,86 eura te na obvezu po kratkoročnom i dugoročnom kreditu u iznosu od 1.464.715,78 eura.</w:t>
      </w:r>
    </w:p>
    <w:p/>
    <w:p>
      <w:pPr>
        <w:jc w:val="center"/>
        <w:pStyle w:val="Normal"/>
        <w:spacing w:line="240" w:lineRule="auto"/>
        <w:keepNext/>
      </w:pPr>
      <w:r>
        <w:rPr>
          <w:sz w:val="28"/>
          <w:rFonts w:ascii="Times New Roman" w:hAnsi="Times New Roman"/>
        </w:rPr>
        <w:t xml:space="preserve">Bilješka 26.</w:t>
      </w:r>
    </w:p>
    <w:p>
      <w:pPr>
        <w:jc w:val="both"/>
        <w:pStyle w:val="Normal"/>
        <w:spacing w:line="240" w:lineRule="auto"/>
      </w:pPr>
      <w:r>
        <w:rPr>
          <w:b/>
          <w:sz w:val="24"/>
          <w:rFonts w:ascii="Times New Roman" w:hAnsi="Times New Roman"/>
        </w:rPr>
        <w:t xml:space="preserve">EU izvještaj</w:t>
      </w:r>
    </w:p>
    <w:p>
      <w:r>
        <w:t xml:space="preserve">Općina Hrašćina je je tijekom 2025. godine provodila projekt Želim dostojanstvenu starost III koji je financiran iz ESF+ fonda, isto tako iz mehanizma za oporavak i otpornost provela je dva projekta, projekt izgradnje i opremanja dječjeg vrtića i izradu VI. izmjene i dopune PPUO Općine Hrašćina. </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s>
</file>

<file path=word/_rels/document.xml.rels>&#65279;<?xml version="1.0" encoding="utf-8"?><Relationships xmlns="http://schemas.openxmlformats.org/package/2006/relationships"><Relationship Type="http://schemas.openxmlformats.org/officeDocument/2006/relationships/styles" Target="/word/styles.xml" Id="Re828737a296b4832" /></Relationships>
</file>