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c6ef06039409f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28364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OPĆINA HRAŠĆINA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23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2.382.618,56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1.576.125,39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529.181,99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802.976,61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151,7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1.853.436,57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773.148,78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41,7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1.587.244,68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2.457.198,47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154,8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1.587.244,68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2.457.198,47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154,8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1.464.715,78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PRIMITAKA OD FINANCIJSKE IMOVINE I ZADUŽIVANJA (šifre 8-5)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1.464.715,78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219.333,91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Ukupno ostvareni prihodi i primici za razdoblje  01.01. – 31.12.2025. godine iznose 3.040.841,17 eura, te  bilježi  rast u odnosu na prošlu godinu. Razlog povećanju  u odnosu na isto razdoblje prošle godine veći priljev tekuće pomoći iz državnog proračuna te primljene tekuće pomoći temeljem prijenosa EU, te prihod po kratkoročnom i dugoročnom kreditu.  Rashodi i izdaci iznose 3.260.175,08 eura  te bilježe biljže rast u odnosu na prošlu godinu zbog izgradnje i opremanja dječjeg vrtića, društvenih domova te rekonstrukcija nerazvrstanih cesta, izgradnje i opremanja dječjeg  igrališta u sklopu dječjeg vrtića te dr.. Manjak prihoda i primitaka iznosi 219.333,91 eura. Preneseni višak prihoda i primitaka iznosi 541.342,75 eura te u sljedećem razdoblju višak prihoda i primitaka iznosi  322.008,84 eura.   Općina Hrašćina nema proračunskog korisnika te je izvještaj isti. </w:t>
      </w:r>
    </w:p>
    <w:p>
      <w:r>
        <w:t xml:space="preserve"> 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2.382.618,56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1.576.125,39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66,2</w:t>
            </w:r>
          </w:p>
        </w:tc>
      </w:tr>
    </w:tbl>
    <w:p>
      <w:pPr>
        <w:spacing w:before="0" w:after="0"/>
      </w:pPr>
    </w:p>
    <w:p>
      <w:r>
        <w:t xml:space="preserve">Prihodi poslovanja bilježe pad u odnosu na prošlu godinu, zbog izgradnje i opremanja dječjeg vrtića (u prošlom razdoblju isplaćen veći dio bespovratnih sredstava temeljem ugovora o dodjeli, dok je u ovom razdoblju isplaćen preostali dio  ugovora) ali i  ujedno i povećanje povrata poreza u odnosu na prošlo razdoblje. 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529.181,99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802.976,61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151,7</w:t>
            </w:r>
          </w:p>
        </w:tc>
      </w:tr>
    </w:tbl>
    <w:p>
      <w:pPr>
        <w:spacing w:before="0" w:after="0"/>
      </w:pPr>
    </w:p>
    <w:p>
      <w:r>
        <w:t xml:space="preserve">bilježi se rast u odnosu na prošlu godinu, zbog provedbe programa Želim dostojanstvenu starost III budući da je 10 žena zaposleno svih 12 mjeseci.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1.587.244,68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2.457.198,47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154,8</w:t>
            </w:r>
          </w:p>
        </w:tc>
      </w:tr>
    </w:tbl>
    <w:p>
      <w:pPr>
        <w:spacing w:before="0" w:after="0"/>
      </w:pPr>
    </w:p>
    <w:p>
      <w:r>
        <w:t xml:space="preserve"> </w:t>
      </w:r>
    </w:p>
    <w:p>
      <w:r>
        <w:t xml:space="preserve">bilježe veliko povećanje  u odnosu na prošlu godinu  zbog  izgradnje i opremanja dječjeg vrtića Hrašćina, društvenog doma Hrašćina, društvenog doma Kraljevec kao i radnjama na cestama, kao i zbog  šeste Izmjene i dopune PPUO O. Hrašćina te uređenja parka , i izgradnje i opremanja dječjeg igrališta.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1.464.715,78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Bilježe povećanje u odnosu na prošlu godinu, a isto se odnosi na dugoročni kredit kod Hrvatske banke za obnovu i razvitak za projekt izgradnje i opremanja dječjeg vrtića u Hrašćini te na kratkoročni kredit kod Zagrebačke banke za međufinanciranje do isplate bespovratnih sredstava potpore po EU projektu  „Rekonstrukcija nerazvrstane ceste spoj naselja Domovec i Maretić.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789,65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dospjelih obaveza na kraju izvještajnog razdoblja iznosi 789,65  eura.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Unutargrupne transakcije koje su u izvještajima eliminirane</w:t>
      </w:r>
    </w:p>
    <w:p>
      <w:r>
        <w:t xml:space="preserve">općina nema proračunskog korisnika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Manjak ili višak u poslovanju grupe i pregled strukture manjka/viška po proračunskim korisnicima </w:t>
      </w:r>
    </w:p>
    <w:p>
      <w:r>
        <w:t xml:space="preserve">općina nema proračunskog korisnika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57ead86e49c2448a" /></Relationships>
</file>