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e213d3d1a94b7f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28364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OPĆINA HRAŠĆINA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22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III 2026.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507.236,34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328.534,61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177.219,13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225.727,29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127,4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330.017,21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102.807,32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31,2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681.135,34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5.764,84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681.135,34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5.764,84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I PRIMITAKA (šifre X678-Y345)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97.042,48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Ukupno ostvareni prihodi i primici za razdoblje  01.01. - 31.03.2026. godine iznose 328.534,61eura, te  bilježe padu odnosu na prošlu godinu. Razlog smanjenju  u odnosu na isto razdoblje prošle godine je manji priljev tekuće pomoći iz državnog proračuna te primljene tekuće pomoći temeljem prijenosa EU.  Rashodi i izdaci iznose 231.492,13 eura te bilježe pad u odnosu na prošlo razdoblje zbog izgradnje dječjeg vrtića.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507.236,34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328.534,61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64,8</w:t>
            </w:r>
          </w:p>
        </w:tc>
      </w:tr>
    </w:tbl>
    <w:p>
      <w:pPr>
        <w:spacing w:before="0" w:after="0"/>
      </w:pPr>
    </w:p>
    <w:p>
      <w:r>
        <w:t xml:space="preserve">Bilježi se blagi pad zbog smanjenog priljeva iz NPOO-a.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poreza (šifre 611+612+613+614+615+616)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146.927,98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177.272,05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120,7</w:t>
            </w:r>
          </w:p>
        </w:tc>
      </w:tr>
    </w:tbl>
    <w:p>
      <w:pPr>
        <w:spacing w:before="0" w:after="0"/>
      </w:pPr>
    </w:p>
    <w:p>
      <w:r>
        <w:t xml:space="preserve">Bilježi se povećanje zbog povećanja minimalne plaće.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iz inozemstva i od subjekata unutar općeg proračuna (šifre 631+632+633+634+635+636+637+638+639)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356.725,37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144.962,27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40,6</w:t>
            </w:r>
          </w:p>
        </w:tc>
      </w:tr>
    </w:tbl>
    <w:p>
      <w:pPr>
        <w:spacing w:before="0" w:after="0"/>
      </w:pPr>
    </w:p>
    <w:p>
      <w:r>
        <w:t xml:space="preserve">Bilježi se smanjenje u odnosu na prošlo razdoblje zbog toga što su u prošlom razdoblju evidentirana sredstva iz NPOO-a.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imovine (šifre 641+642+643)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436,97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&gt;&gt;100</w:t>
            </w:r>
          </w:p>
        </w:tc>
      </w:tr>
    </w:tbl>
    <w:p>
      <w:pPr>
        <w:spacing w:before="0" w:after="0"/>
      </w:pPr>
    </w:p>
    <w:p>
      <w:r>
        <w:t xml:space="preserve">Bilježi se povećanje zbog uplate koncesije.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upravnih i administrativnih pristojbi, pristojbi po posebnim propisima i naknada (šifre 651+652+653+654)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3.582,90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5.863,32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163,6</w:t>
            </w:r>
          </w:p>
        </w:tc>
      </w:tr>
    </w:tbl>
    <w:p>
      <w:pPr>
        <w:spacing w:before="0" w:after="0"/>
      </w:pPr>
    </w:p>
    <w:p>
      <w:r>
        <w:t xml:space="preserve">Bilježi se povećanje zbog naplate potraživanja iz ranijih godina.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177.219,13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225.727,29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127,4</w:t>
            </w:r>
          </w:p>
        </w:tc>
      </w:tr>
    </w:tbl>
    <w:p>
      <w:pPr>
        <w:spacing w:before="0" w:after="0"/>
      </w:pPr>
    </w:p>
    <w:p>
      <w:r>
        <w:t xml:space="preserve">Bilježi se rast radi povećanja minimalne plaće u projekt Želim dostojanstvenu starost III.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zaposlene (šifre 311+312+313)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62.662,80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66.833,52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106,7</w:t>
            </w:r>
          </w:p>
        </w:tc>
      </w:tr>
    </w:tbl>
    <w:p>
      <w:pPr>
        <w:spacing w:before="0" w:after="0"/>
      </w:pPr>
    </w:p>
    <w:p>
      <w:r>
        <w:t xml:space="preserve">Bilježi se rast radi povećanja minimalne plaće u projektu Želim dostojanstvenu starost III.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Materijalni rashodi (šifre 321+322+323+324+325+329)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82.071,60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77.931,19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95,0</w:t>
            </w:r>
          </w:p>
        </w:tc>
      </w:tr>
    </w:tbl>
    <w:p>
      <w:pPr>
        <w:spacing w:before="0" w:after="0"/>
      </w:pPr>
    </w:p>
    <w:p>
      <w:r>
        <w:t xml:space="preserve">Bilježi se blagi pad, zbog toga što u prvom tromjesječju nije bilo radova na komunalnoj infrastrukturi.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Financijski rashodi (šifre 341+342+343)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321,97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6.450,84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2003,6</w:t>
            </w:r>
          </w:p>
        </w:tc>
      </w:tr>
    </w:tbl>
    <w:p>
      <w:pPr>
        <w:spacing w:before="0" w:after="0"/>
      </w:pPr>
    </w:p>
    <w:p>
      <w:r>
        <w:t xml:space="preserve">Bilježi se povećanje zbog dospijeća kamate za kredite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dane u inozemstvo i unutar općeg proračuna (šifre 361+362+363+365+366+367+368+369)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23.413,53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58.475,80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249,8</w:t>
            </w:r>
          </w:p>
        </w:tc>
      </w:tr>
    </w:tbl>
    <w:p>
      <w:pPr>
        <w:spacing w:before="0" w:after="0"/>
      </w:pPr>
    </w:p>
    <w:p>
      <w:r>
        <w:t xml:space="preserve">bilježi se povećanje zbog izdvajanja sredstava za dječji vrtić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građanima i kućanstvima na temelju osiguranja i druge naknade (šifre 371+372)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4.062,63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5.842,32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143,8</w:t>
            </w:r>
          </w:p>
        </w:tc>
      </w:tr>
    </w:tbl>
    <w:p>
      <w:pPr>
        <w:spacing w:before="0" w:after="0"/>
      </w:pPr>
    </w:p>
    <w:p>
      <w:r>
        <w:t xml:space="preserve">bilježi se rast zbog povećanja iznosa stipendija i naknada kućanstvima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donacije, kazne, naknade šteta i kapitalne pomoći (šifre 381+382+383+386)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4.686,60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10.193,62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217,5</w:t>
            </w:r>
          </w:p>
        </w:tc>
      </w:tr>
    </w:tbl>
    <w:p>
      <w:pPr>
        <w:spacing w:before="0" w:after="0"/>
      </w:pPr>
    </w:p>
    <w:p>
      <w:r>
        <w:t xml:space="preserve">bilježi se rast budući da općina sufinancira rad doktora opće medicine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681.135,34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5.764,84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0,8</w:t>
            </w:r>
          </w:p>
        </w:tc>
      </w:tr>
    </w:tbl>
    <w:p>
      <w:pPr>
        <w:spacing w:before="0" w:after="0"/>
      </w:pPr>
    </w:p>
    <w:p>
      <w:r>
        <w:t xml:space="preserve">bilježi se ogroman pad budući da je završila investicija izgradnje dječjeg vrtića.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obveza na kraju izvještajnog razdoblja (šifre V001+V002-V004) i (šifre V007+V009)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1.633.520,69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Stanje obveza na kraju izvještajnog razdoblja iznosi 1.633.520,69 eura, a iste se odnose na obveze za rashode poslovanja te na obveze za financijsku imovinu, odnosno dugoročni i kratkoročni kredit (dugoročni  za izgradnju dječjeg vrtića, a kratkoročni za NC spoj Maretić-Domovec) .</w:t>
      </w:r>
      <w:r>
        <w:br/>
      </w:r>
      <w:r>
        <w:t xml:space="preserve">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Nema nepodmirenih obaveza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nedospjelih obveza na kraju izvještajnog razdoblja (šifre V010 + ND23 + ND24 + 'ND dio 25,26' + ND27)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1.633.520,69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Stanje obveza na kraju izvještajnog razdoblja iznosi 1.633.520,69 eura, a iste se odnose na obveze za rashode poslovanja te na obveze za financijsku imovinu, odnosno dugoročni i kratkoročni kredit (dugoročni  za izgradnju dječjeg vrtića, a kratkoročni za NC spoj Maretić-Domovec) 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18.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 xml:space="preserve">EU izvještaj</w:t>
      </w:r>
    </w:p>
    <w:p>
      <w:r>
        <w:t xml:space="preserve">Učitan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1e1fc9ee49a24a01" /></Relationships>
</file>